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CB8" w:rsidRDefault="000E2CB8" w:rsidP="00447E34">
      <w:pPr>
        <w:spacing w:line="31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Emilia-Romagna capitale delle Corporate Academy: il 50% di quelle italiane in regione</w:t>
      </w:r>
    </w:p>
    <w:p w:rsidR="000E2CB8" w:rsidRDefault="000E2CB8" w:rsidP="00447E34">
      <w:pPr>
        <w:spacing w:line="312" w:lineRule="auto"/>
        <w:jc w:val="both"/>
        <w:rPr>
          <w:rFonts w:ascii="Arial" w:hAnsi="Arial" w:cs="Arial"/>
        </w:rPr>
      </w:pPr>
    </w:p>
    <w:p w:rsidR="000E2CB8" w:rsidRDefault="000E2CB8" w:rsidP="00447E3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Hanno meno di 10 anni d</w:t>
      </w:r>
      <w:r w:rsidR="002E3FDD">
        <w:rPr>
          <w:rFonts w:ascii="Arial" w:hAnsi="Arial" w:cs="Arial"/>
        </w:rPr>
        <w:t xml:space="preserve">i vita, sono strutture leggere con un </w:t>
      </w:r>
      <w:r>
        <w:rPr>
          <w:rFonts w:ascii="Arial" w:hAnsi="Arial" w:cs="Arial"/>
        </w:rPr>
        <w:t xml:space="preserve">numero di addetti dedicati full-time </w:t>
      </w:r>
      <w:r w:rsidR="002E3FDD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varia da uno a oltre 60 nelle strutture più complesse</w:t>
      </w:r>
      <w:r w:rsidR="002E3F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si occupano principalmente di management, marketing e comunicazione. </w:t>
      </w:r>
    </w:p>
    <w:p w:rsidR="000E2CB8" w:rsidRDefault="000E2CB8" w:rsidP="00447E3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È questa la carta di identità delle Corporate Academy dell’Emilia-Romagna, le</w:t>
      </w:r>
      <w:r w:rsidR="002E3FDD">
        <w:rPr>
          <w:rFonts w:ascii="Arial" w:hAnsi="Arial" w:cs="Arial"/>
        </w:rPr>
        <w:t xml:space="preserve"> scuole di formazione interne a</w:t>
      </w:r>
      <w:r>
        <w:rPr>
          <w:rFonts w:ascii="Arial" w:hAnsi="Arial" w:cs="Arial"/>
        </w:rPr>
        <w:t xml:space="preserve">lle aziende, che rappresentano il 50% di </w:t>
      </w:r>
      <w:r w:rsidR="002E3FDD">
        <w:rPr>
          <w:rFonts w:ascii="Arial" w:hAnsi="Arial" w:cs="Arial"/>
        </w:rPr>
        <w:t>tutte quelle presenti in Italia.  P</w:t>
      </w:r>
      <w:r>
        <w:rPr>
          <w:rFonts w:ascii="Arial" w:hAnsi="Arial" w:cs="Arial"/>
        </w:rPr>
        <w:t>roprio per questa presenza</w:t>
      </w:r>
      <w:r w:rsidR="002E3FDD">
        <w:rPr>
          <w:rFonts w:ascii="Arial" w:hAnsi="Arial" w:cs="Arial"/>
        </w:rPr>
        <w:t xml:space="preserve"> consistente, l’Emilia-Romagna</w:t>
      </w:r>
      <w:r>
        <w:rPr>
          <w:rFonts w:ascii="Arial" w:hAnsi="Arial" w:cs="Arial"/>
        </w:rPr>
        <w:t xml:space="preserve"> si candida a creare una cabina di regia </w:t>
      </w:r>
      <w:r w:rsidR="002E3FDD">
        <w:rPr>
          <w:rFonts w:ascii="Arial" w:hAnsi="Arial" w:cs="Arial"/>
        </w:rPr>
        <w:t xml:space="preserve">e lancia una rete delle Academy </w:t>
      </w:r>
      <w:r>
        <w:rPr>
          <w:rFonts w:ascii="Arial" w:hAnsi="Arial" w:cs="Arial"/>
        </w:rPr>
        <w:t>per integrare e favorire lo scambio pubblico-privato</w:t>
      </w:r>
      <w:r w:rsidR="002E3FDD">
        <w:rPr>
          <w:rFonts w:ascii="Arial" w:hAnsi="Arial" w:cs="Arial"/>
        </w:rPr>
        <w:t xml:space="preserve"> e la formazione pubblica aziendale</w:t>
      </w:r>
      <w:r>
        <w:rPr>
          <w:rFonts w:ascii="Arial" w:hAnsi="Arial" w:cs="Arial"/>
        </w:rPr>
        <w:t xml:space="preserve">. </w:t>
      </w:r>
    </w:p>
    <w:p w:rsidR="000E2CB8" w:rsidRDefault="002E3FDD" w:rsidP="00447E3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0E2CB8">
        <w:rPr>
          <w:rFonts w:ascii="Arial" w:hAnsi="Arial" w:cs="Arial"/>
        </w:rPr>
        <w:t>dati sulle Corporate Academy emergono da uno studio di Nomisma, commission</w:t>
      </w:r>
      <w:r>
        <w:rPr>
          <w:rFonts w:ascii="Arial" w:hAnsi="Arial" w:cs="Arial"/>
        </w:rPr>
        <w:t>ato dalla Regione</w:t>
      </w:r>
      <w:r w:rsidR="000E2CB8">
        <w:rPr>
          <w:rFonts w:ascii="Arial" w:hAnsi="Arial" w:cs="Arial"/>
        </w:rPr>
        <w:t xml:space="preserve"> per fotografare lo stato dell’arte in </w:t>
      </w:r>
      <w:r>
        <w:rPr>
          <w:rFonts w:ascii="Arial" w:hAnsi="Arial" w:cs="Arial"/>
        </w:rPr>
        <w:t xml:space="preserve">Emilia-Romagna, </w:t>
      </w:r>
      <w:r w:rsidR="000E2CB8">
        <w:rPr>
          <w:rFonts w:ascii="Arial" w:hAnsi="Arial" w:cs="Arial"/>
        </w:rPr>
        <w:t>presentato nella prima giornata di R2B (</w:t>
      </w:r>
      <w:proofErr w:type="spellStart"/>
      <w:r w:rsidR="000E2CB8">
        <w:rPr>
          <w:rFonts w:ascii="Arial" w:hAnsi="Arial" w:cs="Arial"/>
        </w:rPr>
        <w:t>Research</w:t>
      </w:r>
      <w:proofErr w:type="spellEnd"/>
      <w:r w:rsidR="000E2CB8">
        <w:rPr>
          <w:rFonts w:ascii="Arial" w:hAnsi="Arial" w:cs="Arial"/>
        </w:rPr>
        <w:t xml:space="preserve"> to Business). L'azione avviata in questi anni in Emilia-Romagna è stata incentrata sulla volontà di costruire un sistema di luoghi e istituzioni educative, che intrecciandosi fra loro - nelle rispettive autonomie - possano costruire un’unica piattaforma educativa, su cui impiantare solidamente lo sviluppo produttivo degli anni a venire.</w:t>
      </w:r>
    </w:p>
    <w:p w:rsidR="000E2CB8" w:rsidRDefault="000E2CB8" w:rsidP="00447E3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Anche le imprese, quindi, possono diventare luoghi di educazione superiore e di formazione per competenze avanzate, devono far parte di quest’unica piattaforma che proietta l’Emilia-Romagna, a livello nazionale e internazionale, come il luogo della "intelligenza collettiva", dove venire a studiare e formarsi, ma anche dove venire ad impiantare la testa di cicli produttivi oggi più che mai globali.</w:t>
      </w:r>
      <w:r w:rsidR="002E3FDD">
        <w:rPr>
          <w:rFonts w:ascii="Arial" w:hAnsi="Arial" w:cs="Arial"/>
        </w:rPr>
        <w:t xml:space="preserve"> Lo sviluppo </w:t>
      </w:r>
      <w:r>
        <w:rPr>
          <w:rFonts w:ascii="Arial" w:hAnsi="Arial" w:cs="Arial"/>
        </w:rPr>
        <w:t xml:space="preserve">delle scuole di formazione aziendali conferma come in Emilia-Romagna il rapporto tra sistema formativo universitario e sistema formativo delle imprese è più consolidato e strutturato che altrove. </w:t>
      </w:r>
    </w:p>
    <w:p w:rsidR="000E2CB8" w:rsidRDefault="000E2CB8" w:rsidP="00447E3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Nella maggior parte dei casi le attività formative erogate da queste strutture si concentrano su ambiti “strategici” per la crescita dell’azienda: management, marketing e comunicazione, tecniche commerciali, competenze per livelli amministrativi alti. </w:t>
      </w:r>
    </w:p>
    <w:p w:rsidR="00447E34" w:rsidRDefault="00447E34" w:rsidP="00447E34">
      <w:pPr>
        <w:spacing w:line="312" w:lineRule="auto"/>
        <w:jc w:val="both"/>
        <w:rPr>
          <w:rFonts w:ascii="Arial" w:hAnsi="Arial" w:cs="Arial"/>
        </w:rPr>
      </w:pPr>
    </w:p>
    <w:p w:rsidR="00447E34" w:rsidRDefault="00447E34" w:rsidP="00447E34">
      <w:pPr>
        <w:spacing w:line="312" w:lineRule="auto"/>
        <w:jc w:val="both"/>
      </w:pPr>
      <w:r>
        <w:rPr>
          <w:rFonts w:ascii="Arial" w:hAnsi="Arial" w:cs="Arial"/>
          <w:b/>
          <w:bCs/>
        </w:rPr>
        <w:t>L’indagine</w:t>
      </w:r>
    </w:p>
    <w:p w:rsidR="00447E34" w:rsidRDefault="00447E34" w:rsidP="00447E34">
      <w:pPr>
        <w:spacing w:line="312" w:lineRule="auto"/>
        <w:jc w:val="both"/>
      </w:pPr>
      <w:r>
        <w:rPr>
          <w:rFonts w:ascii="Arial" w:hAnsi="Arial" w:cs="Arial"/>
        </w:rPr>
        <w:t xml:space="preserve">Nomisma ha censito le 120 imprese regionali più grandi in termini di fatturato (100 dei comparti manifatturieri e terziari, 20 dei servizi finanziari) e ne ha ricavato un’analisi dettagliata. Delle 29 Corporate Academy individuate 17 sono state intervistate direttamente. </w:t>
      </w:r>
    </w:p>
    <w:p w:rsidR="00447E34" w:rsidRDefault="00447E34" w:rsidP="00447E34">
      <w:pPr>
        <w:spacing w:line="312" w:lineRule="auto"/>
        <w:jc w:val="both"/>
      </w:pPr>
      <w:r>
        <w:rPr>
          <w:rFonts w:ascii="Arial" w:hAnsi="Arial" w:cs="Arial"/>
        </w:rPr>
        <w:t>Si tratta di imprese che innovano e crescono in termini di utili, fatturato, occupazione e investimenti ma le motivazioni che hanno spinto le aziende a creare simili strutture sono diverse. Principalmente per mantenere il know-how aziendale e garantirne la trasmissibilità, poi per “creare e condividere una cultura unitaria dell’impresa” specie nei momenti di transizione dovuti ad acquisizioni, fusioni o ampliamenti di mercato e favorire la crescita del personale in chiave strategica.</w:t>
      </w:r>
    </w:p>
    <w:p w:rsidR="00447E34" w:rsidRDefault="00447E34" w:rsidP="00447E34">
      <w:pPr>
        <w:spacing w:line="312" w:lineRule="auto"/>
        <w:jc w:val="both"/>
      </w:pPr>
      <w:r>
        <w:rPr>
          <w:rFonts w:ascii="Arial" w:hAnsi="Arial" w:cs="Arial"/>
        </w:rPr>
        <w:t xml:space="preserve">Nella maggior parte dei casi, le </w:t>
      </w:r>
      <w:proofErr w:type="spellStart"/>
      <w:r>
        <w:rPr>
          <w:rFonts w:ascii="Arial" w:hAnsi="Arial" w:cs="Arial"/>
        </w:rPr>
        <w:t>academy</w:t>
      </w:r>
      <w:proofErr w:type="spellEnd"/>
      <w:r>
        <w:rPr>
          <w:rFonts w:ascii="Arial" w:hAnsi="Arial" w:cs="Arial"/>
        </w:rPr>
        <w:t xml:space="preserve"> delle aziende intervistate, sono nate di recente, negli ultimi dieci anni. Sono strutture leggere, senza una propria veste giuridica separata da quella delle imprese a cui appartengono che fanno capo per lo più alla direzione risorse umane, pur essendo nella totalità dei casi nate su impulso dell’amministratore delegato o comunque dei vertici strategici dell’azienda.</w:t>
      </w:r>
    </w:p>
    <w:p w:rsidR="00447E34" w:rsidRDefault="00447E34" w:rsidP="00447E34">
      <w:pPr>
        <w:spacing w:line="312" w:lineRule="auto"/>
        <w:jc w:val="both"/>
      </w:pPr>
      <w:r>
        <w:rPr>
          <w:rFonts w:ascii="Arial" w:hAnsi="Arial" w:cs="Arial"/>
        </w:rPr>
        <w:t xml:space="preserve">Mediamente basso, salvo alcune eccezioni, il numero di addetti dedicati full-time alle </w:t>
      </w:r>
      <w:proofErr w:type="spellStart"/>
      <w:r>
        <w:rPr>
          <w:rFonts w:ascii="Arial" w:hAnsi="Arial" w:cs="Arial"/>
        </w:rPr>
        <w:t>academy</w:t>
      </w:r>
      <w:proofErr w:type="spellEnd"/>
      <w:r>
        <w:rPr>
          <w:rFonts w:ascii="Arial" w:hAnsi="Arial" w:cs="Arial"/>
        </w:rPr>
        <w:t>: si va da 1 addetto fino a oltre 60 nelle strutture più complesse.</w:t>
      </w:r>
    </w:p>
    <w:p w:rsidR="009D3BB6" w:rsidRPr="000E2CB8" w:rsidRDefault="00447E34" w:rsidP="00447E34">
      <w:pPr>
        <w:spacing w:line="312" w:lineRule="auto"/>
        <w:jc w:val="both"/>
      </w:pPr>
      <w:r>
        <w:rPr>
          <w:rFonts w:ascii="Arial" w:hAnsi="Arial" w:cs="Arial"/>
        </w:rPr>
        <w:t>Rispetto al dato nazionale, dove le Academy più consolidate riguardano il settore bancario assicurativo, in Emilia Romagna si registra maggiormente la prevalenza di Academy in quello manifatturiero.</w:t>
      </w:r>
      <w:bookmarkStart w:id="0" w:name="_GoBack"/>
      <w:bookmarkEnd w:id="0"/>
    </w:p>
    <w:sectPr w:rsidR="009D3BB6" w:rsidRPr="000E2CB8">
      <w:headerReference w:type="default" r:id="rId7"/>
      <w:footerReference w:type="default" r:id="rId8"/>
      <w:pgSz w:w="12240" w:h="15840"/>
      <w:pgMar w:top="1276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C8" w:rsidRDefault="000D71C8">
      <w:r>
        <w:separator/>
      </w:r>
    </w:p>
  </w:endnote>
  <w:endnote w:type="continuationSeparator" w:id="0">
    <w:p w:rsidR="000D71C8" w:rsidRDefault="000D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90" w:rsidRDefault="003C6ACE">
    <w:pPr>
      <w:tabs>
        <w:tab w:val="center" w:pos="4986"/>
        <w:tab w:val="right" w:pos="9972"/>
      </w:tabs>
      <w:spacing w:after="720"/>
      <w:jc w:val="both"/>
    </w:pPr>
    <w:r>
      <w:t xml:space="preserve">                                                         </w:t>
    </w:r>
    <w:r>
      <w:rPr>
        <w:noProof/>
      </w:rPr>
      <w:drawing>
        <wp:inline distT="114300" distB="114300" distL="114300" distR="114300" wp14:anchorId="438516D7" wp14:editId="63CA0933">
          <wp:extent cx="5010150" cy="69532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015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C8" w:rsidRDefault="000D71C8">
      <w:r>
        <w:separator/>
      </w:r>
    </w:p>
  </w:footnote>
  <w:footnote w:type="continuationSeparator" w:id="0">
    <w:p w:rsidR="000D71C8" w:rsidRDefault="000D7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90" w:rsidRDefault="003C6ACE">
    <w:pPr>
      <w:tabs>
        <w:tab w:val="center" w:pos="4986"/>
        <w:tab w:val="right" w:pos="9972"/>
      </w:tabs>
      <w:spacing w:before="720"/>
      <w:jc w:val="center"/>
    </w:pPr>
    <w:r>
      <w:rPr>
        <w:noProof/>
      </w:rPr>
      <w:drawing>
        <wp:inline distT="114300" distB="114300" distL="114300" distR="114300" wp14:anchorId="4CFDD4C4" wp14:editId="40D842BD">
          <wp:extent cx="2351723" cy="1113974"/>
          <wp:effectExtent l="0" t="0" r="0" b="0"/>
          <wp:docPr id="1" name="image02.jpg" descr="LogoR2B_2016_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LogoR2B_2016_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1723" cy="1113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D3BB6" w:rsidRDefault="009D3BB6">
    <w:pPr>
      <w:tabs>
        <w:tab w:val="center" w:pos="4986"/>
        <w:tab w:val="right" w:pos="9972"/>
      </w:tabs>
      <w:spacing w:before="7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1990"/>
    <w:rsid w:val="000D71C8"/>
    <w:rsid w:val="000E2CB8"/>
    <w:rsid w:val="001F05DC"/>
    <w:rsid w:val="002E3FDD"/>
    <w:rsid w:val="003C6ACE"/>
    <w:rsid w:val="00447E34"/>
    <w:rsid w:val="0047240C"/>
    <w:rsid w:val="004D7CDC"/>
    <w:rsid w:val="005E0100"/>
    <w:rsid w:val="006B3480"/>
    <w:rsid w:val="0079768F"/>
    <w:rsid w:val="00841CB8"/>
    <w:rsid w:val="009D3BB6"/>
    <w:rsid w:val="00B35296"/>
    <w:rsid w:val="00CD778C"/>
    <w:rsid w:val="00F32A32"/>
    <w:rsid w:val="00F81B64"/>
    <w:rsid w:val="00F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B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B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BB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D3B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BB6"/>
  </w:style>
  <w:style w:type="paragraph" w:styleId="Pidipagina">
    <w:name w:val="footer"/>
    <w:basedOn w:val="Normale"/>
    <w:link w:val="PidipaginaCarattere"/>
    <w:uiPriority w:val="99"/>
    <w:unhideWhenUsed/>
    <w:rsid w:val="009D3B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BB6"/>
  </w:style>
  <w:style w:type="paragraph" w:styleId="NormaleWeb">
    <w:name w:val="Normal (Web)"/>
    <w:basedOn w:val="Normale"/>
    <w:uiPriority w:val="99"/>
    <w:semiHidden/>
    <w:unhideWhenUsed/>
    <w:rsid w:val="0047240C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B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B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BB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D3B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BB6"/>
  </w:style>
  <w:style w:type="paragraph" w:styleId="Pidipagina">
    <w:name w:val="footer"/>
    <w:basedOn w:val="Normale"/>
    <w:link w:val="PidipaginaCarattere"/>
    <w:uiPriority w:val="99"/>
    <w:unhideWhenUsed/>
    <w:rsid w:val="009D3B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BB6"/>
  </w:style>
  <w:style w:type="paragraph" w:styleId="NormaleWeb">
    <w:name w:val="Normal (Web)"/>
    <w:basedOn w:val="Normale"/>
    <w:uiPriority w:val="99"/>
    <w:semiHidden/>
    <w:unhideWhenUsed/>
    <w:rsid w:val="0047240C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Boselli Gianni</dc:creator>
  <cp:lastModifiedBy>Musiani Barbara</cp:lastModifiedBy>
  <cp:revision>2</cp:revision>
  <dcterms:created xsi:type="dcterms:W3CDTF">2016-06-07T14:31:00Z</dcterms:created>
  <dcterms:modified xsi:type="dcterms:W3CDTF">2016-06-07T14:31:00Z</dcterms:modified>
</cp:coreProperties>
</file>